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F8" w:rsidRDefault="007B444E" w:rsidP="007B444E">
      <w:pPr>
        <w:pStyle w:val="Geenafstand"/>
        <w:rPr>
          <w:rFonts w:ascii="Calibri" w:hAnsi="Calibri" w:cs="RobotoSlab-Regular"/>
          <w:b/>
          <w:bCs/>
          <w:sz w:val="22"/>
          <w:szCs w:val="22"/>
        </w:rPr>
      </w:pPr>
      <w:r w:rsidRPr="007B444E">
        <w:rPr>
          <w:rFonts w:ascii="Calibri" w:hAnsi="Calibri" w:cs="RobotoSlab-Regular"/>
          <w:b/>
          <w:bCs/>
          <w:sz w:val="28"/>
          <w:szCs w:val="26"/>
        </w:rPr>
        <w:t>Overzicht</w:t>
      </w:r>
      <w:r>
        <w:rPr>
          <w:rFonts w:ascii="Calibri" w:hAnsi="Calibri" w:cs="RobotoSlab-Regular"/>
          <w:b/>
          <w:bCs/>
          <w:sz w:val="28"/>
          <w:szCs w:val="26"/>
        </w:rPr>
        <w:t xml:space="preserve"> per gemeente</w:t>
      </w:r>
      <w:r w:rsidRPr="007B444E">
        <w:rPr>
          <w:rFonts w:ascii="Calibri" w:hAnsi="Calibri" w:cs="RobotoSlab-Regular"/>
          <w:b/>
          <w:bCs/>
          <w:sz w:val="28"/>
          <w:szCs w:val="26"/>
        </w:rPr>
        <w:t xml:space="preserve"> stand van zaken locatiekeuzes nieuwe zon-op-landprojecten en windturbines tot 2030</w:t>
      </w:r>
      <w:r w:rsidR="000459F8">
        <w:rPr>
          <w:rFonts w:ascii="Calibri" w:hAnsi="Calibri" w:cs="RobotoSlab-Regular"/>
          <w:b/>
          <w:bCs/>
          <w:sz w:val="28"/>
          <w:szCs w:val="26"/>
        </w:rPr>
        <w:t xml:space="preserve"> </w:t>
      </w:r>
    </w:p>
    <w:p w:rsidR="007B444E" w:rsidRPr="000459F8" w:rsidRDefault="007B444E" w:rsidP="007B444E">
      <w:pPr>
        <w:pStyle w:val="Geenafstand"/>
        <w:rPr>
          <w:rFonts w:ascii="Calibri" w:hAnsi="Calibri" w:cs="FrutigerLTStd-BoldCn"/>
          <w:sz w:val="22"/>
          <w:szCs w:val="22"/>
        </w:rPr>
      </w:pPr>
      <w:bookmarkStart w:id="0" w:name="_GoBack"/>
      <w:bookmarkEnd w:id="0"/>
      <w:r w:rsidRPr="000459F8">
        <w:rPr>
          <w:rFonts w:ascii="Calibri" w:hAnsi="Calibri" w:cs="FrutigerLTStd-BoldCn"/>
          <w:sz w:val="22"/>
          <w:szCs w:val="22"/>
        </w:rPr>
        <w:t>Aanvullend op wat is gerealiseerd, in procedure is of waarover besluitvorming heeft plaatsgevonden</w:t>
      </w:r>
    </w:p>
    <w:p w:rsidR="007B444E" w:rsidRPr="007B444E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</w:p>
    <w:p w:rsidR="007B444E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Aa en Hunze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heeft recent een beleidskader zonne-energie vastgesteld. Dit kader biedt onder strikte voorwaarden van</w:t>
      </w:r>
      <w:r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schaal, landschappelijke inpassingen, draagvlak en eigenaarschap de ruimte om zonnevelden aan initiatiefnemers te</w:t>
      </w:r>
      <w:r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vergunnen. Er zijn gebieden uitgesloten; geen gebieden aangewezen. Aa en Hunze prognosticeert het maatschappelijk</w:t>
      </w:r>
      <w:r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initiatief op 0,06 TWh</w:t>
      </w:r>
      <w:r>
        <w:rPr>
          <w:rFonts w:ascii="Calibri" w:hAnsi="Calibri" w:cs="FrutigerLTStd-LightCn"/>
          <w:sz w:val="22"/>
          <w:szCs w:val="22"/>
        </w:rPr>
        <w:t>.</w:t>
      </w:r>
    </w:p>
    <w:p w:rsidR="007B444E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Assen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heeft de locaties voor zonneparken vastgesteld in haar beleid ‘Zonneparken in Assen’. Hierin staan 9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locaties gebaseerd op trede 2 en 3 van de zonneladder (0,1 TWh). Er wordt een integrale verkenning uitgevoerd naar de</w:t>
      </w:r>
      <w:r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toekomstige inpassing van de energieopgave in combinatie met de klimaatopgave en landschappelijke opgaven. Hierbij</w:t>
      </w:r>
      <w:r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wordt gekeken naar zowel zonne- als windenergie, mogelijk al voor 2030. De uitkomsten van de verkenning worden</w:t>
      </w:r>
      <w:r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meegenomen in de RES 2.0.</w:t>
      </w:r>
    </w:p>
    <w:p w:rsidR="007B444E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Borger-Odoorn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brengt het bestaande windpark en de onherroepelijk vergunde zonneakkerparken in. Plus als extra een</w:t>
      </w:r>
    </w:p>
    <w:p w:rsid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gepland zonnepark van maximaal tweemaal 5 hectare door dorpscoöperatie Valthe.</w:t>
      </w:r>
      <w:r>
        <w:rPr>
          <w:rFonts w:ascii="Calibri" w:hAnsi="Calibri" w:cs="FrutigerLTStd-LightCn"/>
          <w:sz w:val="22"/>
          <w:szCs w:val="22"/>
        </w:rPr>
        <w:t xml:space="preserve"> </w:t>
      </w:r>
    </w:p>
    <w:p w:rsidR="007B444E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Coevorden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heeft de locaties voor wind aangewezen in de Structuurvisie Coevorden. Voor zon-op-land zijn zoekgebieden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aangewezen in de Beleidsregel Zonneparken. Daarnaast wil de gemeente nog met circa 0,09 TWh bijdragen aan de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Zonneroute A37.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De Wolden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wil samen met haar inwoners komen tot de productie van 0,04 TWh in 2030. Toe te passen technieken en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locaties staan nog niet vast. In de Omgevingsvisie ‘Toekomstvisie 2040’ geeft de gemeente eind 2021 de eerste aanzet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voor de uitwerking. In de proeftuin Aardgasvrije Wijken in de Schoolkring Ansen is een ambitie opgenomen voor een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kleinschalig zonnepark en een windturbine.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Emmen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heeft haar beleid en locaties vastgelegd in structuurvisies wind en zon. Daarnaast wil de gemeente met circa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0,057 TWh bijdragen aan de Zonneroute A37.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Hoogeveen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wil met circa 0,04 TWh bijdragen aan de Zonneroute A37 en 0,001 TWh door opwekking duurzame energie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met kleine windturbines.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Meppel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zoekt ruimte voor windturbines met een productiecapaciteit van circa 0.1 TWh. Voor aanvullende zon-op</w:t>
      </w:r>
      <w:r w:rsidR="000459F8">
        <w:rPr>
          <w:rFonts w:ascii="Calibri" w:hAnsi="Calibri" w:cs="FrutigerLTStd-LightCn"/>
          <w:sz w:val="22"/>
          <w:szCs w:val="22"/>
        </w:rPr>
        <w:t>-</w:t>
      </w:r>
      <w:r w:rsidRPr="007B444E">
        <w:rPr>
          <w:rFonts w:ascii="Calibri" w:hAnsi="Calibri" w:cs="FrutigerLTStd-LightCn"/>
          <w:sz w:val="22"/>
          <w:szCs w:val="22"/>
        </w:rPr>
        <w:t>landprojecten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zal Meppel voorlopig geen ruimte bieden.</w:t>
      </w:r>
    </w:p>
    <w:p w:rsidR="007B444E" w:rsidRPr="007B444E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>Midden-Drenthe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geeft ruimte aan 140 hectare aan zonneparken (0,115 TWh). De locaties worden bepaald aan de hand van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een tender. Dat betekent dat alleen de beste voorstellen gerealiseerd mogen worden. Daarnaast wil de gemeente ruimte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geven aan initiatieven van energiecoöperaties of dorpsinitiatieven voor kleinschalige zonneparken (100% lokaal eigendom)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van maximaal 2,5 ha groot, en is er ruimte voor kleine windmolens voor individueel of collectief gebruik (tiphoogte 21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meter, ashoogte 15 meter). Daarmee wil de gemeente in 2030 0,028 TWh elektriciteit produceren.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Noordenveld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heeft op twee plekken aan initiatiefnemers de ruimte gegeven om een participatietraject te starten voor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de mogelijke ontwikkeling van zonneparken: Matsloot en omgeving Zuidvelde. Daarbij worden de spelregels uit het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‘Beleidskader Energieprojecten in het landschap’ gehanteerd. Deze projecten en pilots voor zon-op-dak moeten de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komende tijd uitwijzen hoe de Noordenveldse bijdrage wordt ingevuld.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Tynaarlo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zoekt tot 2030 ruimte voor 0,071 TWh zon of wind. De gemeente maakt haar afweging na het doorlopen van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een zorgvuldig (participatie)proces, integraal met andere ruimtelijke vraagstukken en legt deze vast in haar Omgevingsvisie.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Naar verwachting wordt deze Omgevingsvisie begin 2022 ter besluitvorming aan de gemeenteraad aangeboden.</w:t>
      </w:r>
    </w:p>
    <w:p w:rsidR="000459F8" w:rsidRDefault="007B444E" w:rsidP="007B444E">
      <w:pPr>
        <w:pStyle w:val="Geenafstand"/>
        <w:rPr>
          <w:rFonts w:ascii="Calibri" w:hAnsi="Calibri" w:cs="FrutigerLTStd-BoldCn"/>
          <w:b/>
          <w:bCs/>
          <w:sz w:val="22"/>
          <w:szCs w:val="22"/>
        </w:rPr>
      </w:pPr>
      <w:r w:rsidRPr="007B444E">
        <w:rPr>
          <w:rFonts w:ascii="Calibri" w:hAnsi="Calibri" w:cs="FrutigerLTStd-BoldCn"/>
          <w:b/>
          <w:bCs/>
          <w:sz w:val="22"/>
          <w:szCs w:val="22"/>
        </w:rPr>
        <w:t xml:space="preserve">Westerveld </w:t>
      </w:r>
    </w:p>
    <w:p w:rsidR="007B444E" w:rsidRPr="007B444E" w:rsidRDefault="007B444E" w:rsidP="007B444E">
      <w:pPr>
        <w:pStyle w:val="Geenafstand"/>
        <w:rPr>
          <w:rFonts w:ascii="Calibri" w:hAnsi="Calibri" w:cs="FrutigerLTStd-LightCn"/>
          <w:sz w:val="22"/>
          <w:szCs w:val="22"/>
        </w:rPr>
      </w:pPr>
      <w:r w:rsidRPr="007B444E">
        <w:rPr>
          <w:rFonts w:ascii="Calibri" w:hAnsi="Calibri" w:cs="FrutigerLTStd-LightCn"/>
          <w:sz w:val="22"/>
          <w:szCs w:val="22"/>
        </w:rPr>
        <w:t>De gemeente heeft nog geen keuze gemaakt welke technieken ze wil toepassen om te komen tot 0,028 TWh. De gemeente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 xml:space="preserve">wil met de samenleving vanuit een integrale blik bouwen aan ‘nieuwe’ landschappen met kwaliteit voor de </w:t>
      </w:r>
      <w:r w:rsidRPr="007B444E">
        <w:rPr>
          <w:rFonts w:ascii="Calibri" w:hAnsi="Calibri" w:cs="FrutigerLTStd-LightCn"/>
          <w:sz w:val="22"/>
          <w:szCs w:val="22"/>
        </w:rPr>
        <w:lastRenderedPageBreak/>
        <w:t>langere termijn.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De gemeente is daarvoor een participatietraject gestart, waarin wordt onderzocht wat de Westerveldse samenleving het</w:t>
      </w:r>
      <w:r w:rsidR="000459F8">
        <w:rPr>
          <w:rFonts w:ascii="Calibri" w:hAnsi="Calibri" w:cs="FrutigerLTStd-LightCn"/>
          <w:sz w:val="22"/>
          <w:szCs w:val="22"/>
        </w:rPr>
        <w:t xml:space="preserve"> </w:t>
      </w:r>
      <w:r w:rsidRPr="007B444E">
        <w:rPr>
          <w:rFonts w:ascii="Calibri" w:hAnsi="Calibri" w:cs="FrutigerLTStd-LightCn"/>
          <w:sz w:val="22"/>
          <w:szCs w:val="22"/>
        </w:rPr>
        <w:t>best passend vindt.</w:t>
      </w:r>
    </w:p>
    <w:p w:rsidR="007B444E" w:rsidRPr="007B444E" w:rsidRDefault="007B444E" w:rsidP="007B444E">
      <w:pPr>
        <w:pStyle w:val="Geenafstand"/>
        <w:rPr>
          <w:rFonts w:ascii="Calibri" w:hAnsi="Calibri"/>
          <w:sz w:val="22"/>
          <w:szCs w:val="22"/>
        </w:rPr>
      </w:pPr>
    </w:p>
    <w:sectPr w:rsidR="007B444E" w:rsidRPr="007B444E" w:rsidSect="000459F8">
      <w:pgSz w:w="11906" w:h="16838"/>
      <w:pgMar w:top="567" w:right="567" w:bottom="567" w:left="567" w:header="709" w:footer="709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4E"/>
    <w:rsid w:val="000459F8"/>
    <w:rsid w:val="00074D2E"/>
    <w:rsid w:val="000C2AD4"/>
    <w:rsid w:val="00153D3F"/>
    <w:rsid w:val="001B19D2"/>
    <w:rsid w:val="00290FA5"/>
    <w:rsid w:val="00322ACB"/>
    <w:rsid w:val="003A7B65"/>
    <w:rsid w:val="00484E00"/>
    <w:rsid w:val="00497A97"/>
    <w:rsid w:val="005B5015"/>
    <w:rsid w:val="007349EA"/>
    <w:rsid w:val="00797E7D"/>
    <w:rsid w:val="007B444E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D870C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22C3"/>
  <w15:chartTrackingRefBased/>
  <w15:docId w15:val="{B598CD0B-877B-4603-8774-85281AC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B44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9656915-39AB-4EF4-99BC-7D56D4CD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3579</Characters>
  <Application>Microsoft Office Word</Application>
  <DocSecurity>0</DocSecurity>
  <Lines>137</Lines>
  <Paragraphs>59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2021-04-11T11:53:00Z</dcterms:created>
  <dcterms:modified xsi:type="dcterms:W3CDTF">2021-04-11T12:02:00Z</dcterms:modified>
</cp:coreProperties>
</file>